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3527" w:rsidRPr="00A93256" w:rsidRDefault="002E3527" w:rsidP="00C0351C">
      <w:pPr>
        <w:spacing w:after="0" w:line="240" w:lineRule="auto"/>
        <w:rPr>
          <w:b/>
          <w:sz w:val="20"/>
          <w:szCs w:val="20"/>
        </w:rPr>
      </w:pPr>
      <w:bookmarkStart w:id="0" w:name="_GoBack"/>
      <w:bookmarkEnd w:id="0"/>
      <w:r w:rsidRPr="00A93256">
        <w:rPr>
          <w:b/>
          <w:sz w:val="20"/>
          <w:szCs w:val="20"/>
        </w:rPr>
        <w:t>Background (Why?)</w:t>
      </w:r>
    </w:p>
    <w:p w:rsidR="00557742" w:rsidRPr="00A93256" w:rsidRDefault="002E3527" w:rsidP="00C0351C">
      <w:pPr>
        <w:spacing w:after="0" w:line="240" w:lineRule="auto"/>
        <w:rPr>
          <w:sz w:val="20"/>
          <w:szCs w:val="20"/>
        </w:rPr>
      </w:pPr>
      <w:r w:rsidRPr="00A93256">
        <w:rPr>
          <w:sz w:val="20"/>
          <w:szCs w:val="20"/>
        </w:rPr>
        <w:t xml:space="preserve">Self and Peer Assessment are integral to scaling up an intervention. As implementers reflect upon their behaviors and practices and work with colleagues to coach and support each other, key areas of knowledge and skills are identified as well as areas where additional training, technical assistance, and coaching are needed.  </w:t>
      </w:r>
    </w:p>
    <w:p w:rsidR="00557742" w:rsidRPr="00A93256" w:rsidRDefault="00557742" w:rsidP="00C0351C">
      <w:pPr>
        <w:spacing w:after="0" w:line="240" w:lineRule="auto"/>
        <w:rPr>
          <w:b/>
          <w:sz w:val="20"/>
          <w:szCs w:val="20"/>
        </w:rPr>
      </w:pPr>
      <w:r w:rsidRPr="00A93256">
        <w:rPr>
          <w:b/>
          <w:sz w:val="20"/>
          <w:szCs w:val="20"/>
        </w:rPr>
        <w:t>Use of this tool</w:t>
      </w:r>
      <w:r w:rsidR="00C0351C" w:rsidRPr="00A93256">
        <w:rPr>
          <w:b/>
          <w:sz w:val="20"/>
          <w:szCs w:val="20"/>
        </w:rPr>
        <w:t xml:space="preserve"> (Who?)</w:t>
      </w:r>
    </w:p>
    <w:p w:rsidR="000804F0" w:rsidRPr="000804F0" w:rsidRDefault="00C0351C" w:rsidP="000804F0">
      <w:pPr>
        <w:spacing w:after="0" w:line="240" w:lineRule="auto"/>
        <w:rPr>
          <w:b/>
          <w:sz w:val="20"/>
          <w:szCs w:val="20"/>
        </w:rPr>
      </w:pPr>
      <w:r w:rsidRPr="00A93256">
        <w:rPr>
          <w:sz w:val="20"/>
          <w:szCs w:val="20"/>
        </w:rPr>
        <w:t xml:space="preserve">Teachers use this tool to reflect upon their implementation practices and work with their colleagues to coach and support each other. </w:t>
      </w:r>
      <w:r w:rsidR="000804F0" w:rsidRPr="000804F0">
        <w:rPr>
          <w:b/>
          <w:sz w:val="20"/>
          <w:szCs w:val="20"/>
        </w:rPr>
        <w:t>The data collected using this tool is not to be used by administrators for observations, walkthroughs or as part of the teacher evaluation process; it is intended to be used by teachers to answer the following:</w:t>
      </w:r>
    </w:p>
    <w:p w:rsidR="00D25EBB" w:rsidRPr="000804F0" w:rsidRDefault="00B51591" w:rsidP="000804F0">
      <w:pPr>
        <w:pStyle w:val="ListParagraph"/>
        <w:numPr>
          <w:ilvl w:val="0"/>
          <w:numId w:val="1"/>
        </w:numPr>
        <w:spacing w:after="0" w:line="240" w:lineRule="auto"/>
        <w:rPr>
          <w:sz w:val="20"/>
          <w:szCs w:val="20"/>
        </w:rPr>
      </w:pPr>
      <w:r w:rsidRPr="000804F0">
        <w:rPr>
          <w:sz w:val="20"/>
          <w:szCs w:val="20"/>
        </w:rPr>
        <w:t>Where am I now?</w:t>
      </w:r>
    </w:p>
    <w:p w:rsidR="00C0351C" w:rsidRPr="00A93256" w:rsidRDefault="00B51591" w:rsidP="00C0351C">
      <w:pPr>
        <w:pStyle w:val="ListParagraph"/>
        <w:numPr>
          <w:ilvl w:val="0"/>
          <w:numId w:val="1"/>
        </w:numPr>
        <w:spacing w:after="0" w:line="240" w:lineRule="auto"/>
        <w:rPr>
          <w:sz w:val="20"/>
          <w:szCs w:val="20"/>
        </w:rPr>
      </w:pPr>
      <w:r>
        <w:rPr>
          <w:sz w:val="20"/>
          <w:szCs w:val="20"/>
        </w:rPr>
        <w:t>Where am I going?</w:t>
      </w:r>
    </w:p>
    <w:p w:rsidR="002E3527" w:rsidRPr="000804F0" w:rsidRDefault="00B51591" w:rsidP="00A93256">
      <w:pPr>
        <w:pStyle w:val="ListParagraph"/>
        <w:numPr>
          <w:ilvl w:val="0"/>
          <w:numId w:val="1"/>
        </w:numPr>
        <w:spacing w:after="0" w:line="240" w:lineRule="auto"/>
        <w:rPr>
          <w:sz w:val="20"/>
          <w:szCs w:val="20"/>
        </w:rPr>
      </w:pPr>
      <w:r>
        <w:rPr>
          <w:sz w:val="20"/>
          <w:szCs w:val="20"/>
        </w:rPr>
        <w:t xml:space="preserve">What gaps do I have in my understanding and/or implementation of the </w:t>
      </w:r>
      <w:r w:rsidR="00534898">
        <w:rPr>
          <w:sz w:val="20"/>
          <w:szCs w:val="20"/>
        </w:rPr>
        <w:t xml:space="preserve">formative assessment </w:t>
      </w:r>
      <w:r>
        <w:rPr>
          <w:sz w:val="20"/>
          <w:szCs w:val="20"/>
        </w:rPr>
        <w:t>process?</w:t>
      </w:r>
      <w:r w:rsidR="00C0351C" w:rsidRPr="00A93256">
        <w:rPr>
          <w:sz w:val="20"/>
          <w:szCs w:val="20"/>
        </w:rPr>
        <w:t xml:space="preserve"> </w:t>
      </w:r>
    </w:p>
    <w:tbl>
      <w:tblPr>
        <w:tblStyle w:val="TableGrid"/>
        <w:tblW w:w="14090" w:type="dxa"/>
        <w:tblInd w:w="-342" w:type="dxa"/>
        <w:tblLook w:val="04A0" w:firstRow="1" w:lastRow="0" w:firstColumn="1" w:lastColumn="0" w:noHBand="0" w:noVBand="1"/>
      </w:tblPr>
      <w:tblGrid>
        <w:gridCol w:w="563"/>
        <w:gridCol w:w="1368"/>
        <w:gridCol w:w="12159"/>
      </w:tblGrid>
      <w:tr w:rsidR="000804F0" w:rsidRPr="00A93256" w:rsidTr="000804F0">
        <w:trPr>
          <w:trHeight w:val="355"/>
        </w:trPr>
        <w:tc>
          <w:tcPr>
            <w:tcW w:w="563" w:type="dxa"/>
            <w:vMerge w:val="restart"/>
            <w:shd w:val="clear" w:color="auto" w:fill="B6DDE8" w:themeFill="accent5" w:themeFillTint="66"/>
            <w:textDirection w:val="btLr"/>
          </w:tcPr>
          <w:p w:rsidR="000804F0" w:rsidRPr="000804F0" w:rsidRDefault="000804F0" w:rsidP="000804F0">
            <w:pPr>
              <w:ind w:left="113" w:right="113"/>
              <w:rPr>
                <w:b/>
                <w:sz w:val="20"/>
                <w:szCs w:val="20"/>
              </w:rPr>
            </w:pPr>
            <w:r w:rsidRPr="000804F0">
              <w:rPr>
                <w:b/>
                <w:sz w:val="20"/>
                <w:szCs w:val="20"/>
              </w:rPr>
              <w:t>Scoring Key</w:t>
            </w:r>
          </w:p>
        </w:tc>
        <w:tc>
          <w:tcPr>
            <w:tcW w:w="1368" w:type="dxa"/>
            <w:shd w:val="clear" w:color="auto" w:fill="B6DDE8" w:themeFill="accent5" w:themeFillTint="66"/>
          </w:tcPr>
          <w:p w:rsidR="000804F0" w:rsidRPr="00A93256" w:rsidRDefault="000804F0" w:rsidP="00C0351C">
            <w:pPr>
              <w:rPr>
                <w:sz w:val="20"/>
                <w:szCs w:val="20"/>
              </w:rPr>
            </w:pPr>
            <w:r w:rsidRPr="00A93256">
              <w:rPr>
                <w:sz w:val="20"/>
                <w:szCs w:val="20"/>
              </w:rPr>
              <w:t xml:space="preserve">In Place </w:t>
            </w:r>
          </w:p>
        </w:tc>
        <w:tc>
          <w:tcPr>
            <w:tcW w:w="12159" w:type="dxa"/>
          </w:tcPr>
          <w:p w:rsidR="000804F0" w:rsidRPr="00A93256" w:rsidRDefault="000804F0" w:rsidP="00C0351C">
            <w:pPr>
              <w:rPr>
                <w:sz w:val="20"/>
                <w:szCs w:val="20"/>
              </w:rPr>
            </w:pPr>
            <w:r w:rsidRPr="00A93256">
              <w:rPr>
                <w:sz w:val="20"/>
                <w:szCs w:val="20"/>
              </w:rPr>
              <w:t xml:space="preserve">Item is part of the formative assessment process and </w:t>
            </w:r>
            <w:r w:rsidRPr="00A93256">
              <w:rPr>
                <w:i/>
                <w:sz w:val="20"/>
                <w:szCs w:val="20"/>
              </w:rPr>
              <w:t>evidence</w:t>
            </w:r>
            <w:r w:rsidRPr="00A93256">
              <w:rPr>
                <w:sz w:val="20"/>
                <w:szCs w:val="20"/>
              </w:rPr>
              <w:t xml:space="preserve"> of this component are observable and/or measurable.</w:t>
            </w:r>
          </w:p>
        </w:tc>
      </w:tr>
      <w:tr w:rsidR="000804F0" w:rsidRPr="00A93256" w:rsidTr="000804F0">
        <w:trPr>
          <w:trHeight w:val="150"/>
        </w:trPr>
        <w:tc>
          <w:tcPr>
            <w:tcW w:w="563" w:type="dxa"/>
            <w:vMerge/>
            <w:shd w:val="clear" w:color="auto" w:fill="B6DDE8" w:themeFill="accent5" w:themeFillTint="66"/>
          </w:tcPr>
          <w:p w:rsidR="000804F0" w:rsidRPr="00A93256" w:rsidRDefault="000804F0" w:rsidP="00C0351C">
            <w:pPr>
              <w:rPr>
                <w:sz w:val="20"/>
                <w:szCs w:val="20"/>
              </w:rPr>
            </w:pPr>
          </w:p>
        </w:tc>
        <w:tc>
          <w:tcPr>
            <w:tcW w:w="1368" w:type="dxa"/>
            <w:shd w:val="clear" w:color="auto" w:fill="B6DDE8" w:themeFill="accent5" w:themeFillTint="66"/>
          </w:tcPr>
          <w:p w:rsidR="000804F0" w:rsidRPr="00A93256" w:rsidRDefault="000804F0" w:rsidP="00C0351C">
            <w:pPr>
              <w:rPr>
                <w:sz w:val="20"/>
                <w:szCs w:val="20"/>
              </w:rPr>
            </w:pPr>
            <w:r w:rsidRPr="00A93256">
              <w:rPr>
                <w:sz w:val="20"/>
                <w:szCs w:val="20"/>
              </w:rPr>
              <w:t>Partially in Place</w:t>
            </w:r>
          </w:p>
        </w:tc>
        <w:tc>
          <w:tcPr>
            <w:tcW w:w="12159" w:type="dxa"/>
          </w:tcPr>
          <w:p w:rsidR="000804F0" w:rsidRPr="00A93256" w:rsidRDefault="000804F0" w:rsidP="00C0351C">
            <w:pPr>
              <w:rPr>
                <w:sz w:val="20"/>
                <w:szCs w:val="20"/>
              </w:rPr>
            </w:pPr>
            <w:r w:rsidRPr="00A93256">
              <w:rPr>
                <w:sz w:val="20"/>
                <w:szCs w:val="20"/>
              </w:rPr>
              <w:t>Part of the component has been established, the component has been conceptualized but not fully used, or the component exists, but is not being utilized on a regular basis.</w:t>
            </w:r>
          </w:p>
        </w:tc>
      </w:tr>
      <w:tr w:rsidR="000804F0" w:rsidRPr="00A93256" w:rsidTr="000804F0">
        <w:trPr>
          <w:trHeight w:val="150"/>
        </w:trPr>
        <w:tc>
          <w:tcPr>
            <w:tcW w:w="563" w:type="dxa"/>
            <w:vMerge/>
            <w:shd w:val="clear" w:color="auto" w:fill="B6DDE8" w:themeFill="accent5" w:themeFillTint="66"/>
          </w:tcPr>
          <w:p w:rsidR="000804F0" w:rsidRPr="00A93256" w:rsidRDefault="000804F0" w:rsidP="00C0351C">
            <w:pPr>
              <w:rPr>
                <w:sz w:val="20"/>
                <w:szCs w:val="20"/>
              </w:rPr>
            </w:pPr>
          </w:p>
        </w:tc>
        <w:tc>
          <w:tcPr>
            <w:tcW w:w="1368" w:type="dxa"/>
            <w:shd w:val="clear" w:color="auto" w:fill="B6DDE8" w:themeFill="accent5" w:themeFillTint="66"/>
          </w:tcPr>
          <w:p w:rsidR="000804F0" w:rsidRPr="00A93256" w:rsidRDefault="000804F0" w:rsidP="00C0351C">
            <w:pPr>
              <w:rPr>
                <w:sz w:val="20"/>
                <w:szCs w:val="20"/>
              </w:rPr>
            </w:pPr>
            <w:r w:rsidRPr="00A93256">
              <w:rPr>
                <w:sz w:val="20"/>
                <w:szCs w:val="20"/>
              </w:rPr>
              <w:t>Not in Place</w:t>
            </w:r>
          </w:p>
        </w:tc>
        <w:tc>
          <w:tcPr>
            <w:tcW w:w="12159" w:type="dxa"/>
          </w:tcPr>
          <w:p w:rsidR="000804F0" w:rsidRPr="00A93256" w:rsidRDefault="000804F0" w:rsidP="00C0351C">
            <w:pPr>
              <w:rPr>
                <w:sz w:val="20"/>
                <w:szCs w:val="20"/>
              </w:rPr>
            </w:pPr>
            <w:r w:rsidRPr="00A93256">
              <w:rPr>
                <w:sz w:val="20"/>
                <w:szCs w:val="20"/>
              </w:rPr>
              <w:t>The component does not exist or has not yet been initiated.</w:t>
            </w:r>
          </w:p>
        </w:tc>
      </w:tr>
      <w:tr w:rsidR="000804F0" w:rsidRPr="00A93256" w:rsidTr="000804F0">
        <w:trPr>
          <w:trHeight w:val="150"/>
        </w:trPr>
        <w:tc>
          <w:tcPr>
            <w:tcW w:w="563" w:type="dxa"/>
            <w:vMerge/>
            <w:shd w:val="clear" w:color="auto" w:fill="B6DDE8" w:themeFill="accent5" w:themeFillTint="66"/>
          </w:tcPr>
          <w:p w:rsidR="000804F0" w:rsidRPr="00A93256" w:rsidRDefault="000804F0" w:rsidP="00C0351C">
            <w:pPr>
              <w:rPr>
                <w:sz w:val="20"/>
                <w:szCs w:val="20"/>
              </w:rPr>
            </w:pPr>
          </w:p>
        </w:tc>
        <w:tc>
          <w:tcPr>
            <w:tcW w:w="1368" w:type="dxa"/>
            <w:shd w:val="clear" w:color="auto" w:fill="B6DDE8" w:themeFill="accent5" w:themeFillTint="66"/>
          </w:tcPr>
          <w:p w:rsidR="000804F0" w:rsidRPr="00A93256" w:rsidRDefault="000804F0" w:rsidP="00C0351C">
            <w:pPr>
              <w:rPr>
                <w:sz w:val="20"/>
                <w:szCs w:val="20"/>
              </w:rPr>
            </w:pPr>
            <w:r>
              <w:rPr>
                <w:sz w:val="20"/>
                <w:szCs w:val="20"/>
              </w:rPr>
              <w:t>Next Steps</w:t>
            </w:r>
          </w:p>
        </w:tc>
        <w:tc>
          <w:tcPr>
            <w:tcW w:w="12159" w:type="dxa"/>
          </w:tcPr>
          <w:p w:rsidR="000804F0" w:rsidRPr="00A93256" w:rsidRDefault="000804F0" w:rsidP="000804F0">
            <w:pPr>
              <w:rPr>
                <w:sz w:val="20"/>
                <w:szCs w:val="20"/>
              </w:rPr>
            </w:pPr>
            <w:r w:rsidRPr="000804F0">
              <w:rPr>
                <w:sz w:val="20"/>
                <w:szCs w:val="20"/>
              </w:rPr>
              <w:t>This section can be used to note goals and support needed for planning and follow up.</w:t>
            </w:r>
            <w:r>
              <w:rPr>
                <w:sz w:val="20"/>
                <w:szCs w:val="20"/>
              </w:rPr>
              <w:t xml:space="preserve"> </w:t>
            </w:r>
          </w:p>
        </w:tc>
      </w:tr>
    </w:tbl>
    <w:p w:rsidR="00BB572E" w:rsidRPr="00A93256" w:rsidRDefault="00BB572E" w:rsidP="00C0351C">
      <w:pPr>
        <w:spacing w:after="0" w:line="240" w:lineRule="auto"/>
        <w:rPr>
          <w:i/>
          <w:sz w:val="20"/>
          <w:szCs w:val="20"/>
        </w:rPr>
      </w:pPr>
    </w:p>
    <w:tbl>
      <w:tblPr>
        <w:tblStyle w:val="TableGrid"/>
        <w:tblW w:w="14130" w:type="dxa"/>
        <w:tblInd w:w="-342" w:type="dxa"/>
        <w:tblLook w:val="04A0" w:firstRow="1" w:lastRow="0" w:firstColumn="1" w:lastColumn="0" w:noHBand="0" w:noVBand="1"/>
      </w:tblPr>
      <w:tblGrid>
        <w:gridCol w:w="6018"/>
        <w:gridCol w:w="1092"/>
        <w:gridCol w:w="1080"/>
        <w:gridCol w:w="1260"/>
        <w:gridCol w:w="4680"/>
      </w:tblGrid>
      <w:tr w:rsidR="00A93256" w:rsidRPr="00D25EBB" w:rsidTr="00A93256">
        <w:tc>
          <w:tcPr>
            <w:tcW w:w="14130" w:type="dxa"/>
            <w:gridSpan w:val="5"/>
            <w:shd w:val="clear" w:color="auto" w:fill="1F497D" w:themeFill="text2"/>
          </w:tcPr>
          <w:p w:rsidR="00A93256" w:rsidRPr="00D25EBB" w:rsidRDefault="00D25EBB" w:rsidP="00D25EBB">
            <w:pPr>
              <w:rPr>
                <w:b/>
              </w:rPr>
            </w:pPr>
            <w:r w:rsidRPr="00B51591">
              <w:rPr>
                <w:b/>
                <w:color w:val="FFFFFF" w:themeColor="background1"/>
              </w:rPr>
              <w:t xml:space="preserve">Teacher </w:t>
            </w:r>
            <w:r w:rsidR="00A93256" w:rsidRPr="00B51591">
              <w:rPr>
                <w:b/>
                <w:color w:val="FFFFFF" w:themeColor="background1"/>
              </w:rPr>
              <w:t xml:space="preserve">Self and Peer </w:t>
            </w:r>
            <w:r w:rsidRPr="00B51591">
              <w:rPr>
                <w:b/>
                <w:color w:val="FFFFFF" w:themeColor="background1"/>
              </w:rPr>
              <w:t>Reflection</w:t>
            </w:r>
            <w:r w:rsidR="00A93256" w:rsidRPr="00B51591">
              <w:rPr>
                <w:b/>
                <w:color w:val="FFFFFF" w:themeColor="background1"/>
              </w:rPr>
              <w:t xml:space="preserve"> Tool: K-3 Formative Assessment Process Practices</w:t>
            </w:r>
          </w:p>
        </w:tc>
      </w:tr>
      <w:tr w:rsidR="00A93256" w:rsidRPr="00A93256" w:rsidTr="00A93256">
        <w:tc>
          <w:tcPr>
            <w:tcW w:w="6018" w:type="dxa"/>
            <w:shd w:val="clear" w:color="auto" w:fill="B6DDE8" w:themeFill="accent5" w:themeFillTint="66"/>
          </w:tcPr>
          <w:p w:rsidR="00A93256" w:rsidRPr="00A93256" w:rsidRDefault="00A93256" w:rsidP="00A93256">
            <w:r w:rsidRPr="00A93256">
              <w:t>To what extent are best practices being used?</w:t>
            </w:r>
          </w:p>
        </w:tc>
        <w:tc>
          <w:tcPr>
            <w:tcW w:w="1092" w:type="dxa"/>
            <w:shd w:val="clear" w:color="auto" w:fill="B6DDE8" w:themeFill="accent5" w:themeFillTint="66"/>
          </w:tcPr>
          <w:p w:rsidR="00A93256" w:rsidRPr="00A93256" w:rsidRDefault="00A93256" w:rsidP="00A93256">
            <w:r w:rsidRPr="00A93256">
              <w:t>In place</w:t>
            </w:r>
          </w:p>
        </w:tc>
        <w:tc>
          <w:tcPr>
            <w:tcW w:w="1080" w:type="dxa"/>
            <w:shd w:val="clear" w:color="auto" w:fill="B6DDE8" w:themeFill="accent5" w:themeFillTint="66"/>
          </w:tcPr>
          <w:p w:rsidR="00A93256" w:rsidRPr="00A93256" w:rsidRDefault="00A93256" w:rsidP="00A93256">
            <w:r w:rsidRPr="00A93256">
              <w:t>Partially in place</w:t>
            </w:r>
          </w:p>
        </w:tc>
        <w:tc>
          <w:tcPr>
            <w:tcW w:w="1260" w:type="dxa"/>
            <w:shd w:val="clear" w:color="auto" w:fill="B6DDE8" w:themeFill="accent5" w:themeFillTint="66"/>
          </w:tcPr>
          <w:p w:rsidR="00A93256" w:rsidRPr="00A93256" w:rsidRDefault="00A93256" w:rsidP="00A93256">
            <w:r w:rsidRPr="00A93256">
              <w:t>Not in place</w:t>
            </w:r>
          </w:p>
        </w:tc>
        <w:tc>
          <w:tcPr>
            <w:tcW w:w="4680" w:type="dxa"/>
            <w:shd w:val="clear" w:color="auto" w:fill="B6DDE8" w:themeFill="accent5" w:themeFillTint="66"/>
          </w:tcPr>
          <w:p w:rsidR="00A93256" w:rsidRPr="00A93256" w:rsidRDefault="000804F0" w:rsidP="00A93256">
            <w:r>
              <w:t>Next Steps</w:t>
            </w:r>
          </w:p>
        </w:tc>
      </w:tr>
      <w:tr w:rsidR="00A93256" w:rsidRPr="00A93256" w:rsidTr="00A93256">
        <w:tc>
          <w:tcPr>
            <w:tcW w:w="6018" w:type="dxa"/>
          </w:tcPr>
          <w:p w:rsidR="00A93256" w:rsidRPr="00A93256" w:rsidRDefault="00A93256" w:rsidP="00A93256">
            <w:pPr>
              <w:rPr>
                <w:b/>
              </w:rPr>
            </w:pPr>
            <w:r w:rsidRPr="00A93256">
              <w:rPr>
                <w:b/>
              </w:rPr>
              <w:t>Selecting Learning Targets</w:t>
            </w:r>
            <w:r>
              <w:rPr>
                <w:b/>
              </w:rPr>
              <w:t xml:space="preserve">: </w:t>
            </w:r>
            <w:r w:rsidRPr="00A93256">
              <w:t xml:space="preserve">Learning targets are selected with students using the next step </w:t>
            </w:r>
            <w:r>
              <w:t>along the construct progression</w:t>
            </w:r>
            <w:r w:rsidRPr="00A93256">
              <w:t>.</w:t>
            </w:r>
          </w:p>
        </w:tc>
        <w:tc>
          <w:tcPr>
            <w:tcW w:w="1092" w:type="dxa"/>
          </w:tcPr>
          <w:p w:rsidR="00A93256" w:rsidRPr="00A93256" w:rsidRDefault="00A93256" w:rsidP="00A93256"/>
        </w:tc>
        <w:tc>
          <w:tcPr>
            <w:tcW w:w="1080" w:type="dxa"/>
          </w:tcPr>
          <w:p w:rsidR="00A93256" w:rsidRPr="00A93256" w:rsidRDefault="00A93256" w:rsidP="00A93256"/>
        </w:tc>
        <w:tc>
          <w:tcPr>
            <w:tcW w:w="1260" w:type="dxa"/>
          </w:tcPr>
          <w:p w:rsidR="00A93256" w:rsidRPr="00A93256" w:rsidRDefault="00A93256" w:rsidP="00A93256"/>
        </w:tc>
        <w:tc>
          <w:tcPr>
            <w:tcW w:w="4680" w:type="dxa"/>
          </w:tcPr>
          <w:p w:rsidR="00A93256" w:rsidRPr="00A93256" w:rsidRDefault="00A93256" w:rsidP="00A93256"/>
        </w:tc>
      </w:tr>
      <w:tr w:rsidR="00A93256" w:rsidRPr="00A93256" w:rsidTr="00A93256">
        <w:tc>
          <w:tcPr>
            <w:tcW w:w="6018" w:type="dxa"/>
          </w:tcPr>
          <w:p w:rsidR="00A93256" w:rsidRPr="00A93256" w:rsidRDefault="00A93256" w:rsidP="00A93256">
            <w:pPr>
              <w:rPr>
                <w:b/>
              </w:rPr>
            </w:pPr>
            <w:r w:rsidRPr="00A93256">
              <w:rPr>
                <w:b/>
              </w:rPr>
              <w:t>Developing Criteria for Success</w:t>
            </w:r>
            <w:r>
              <w:rPr>
                <w:b/>
              </w:rPr>
              <w:t xml:space="preserve">: </w:t>
            </w:r>
            <w:r>
              <w:t xml:space="preserve">Performance descriptors </w:t>
            </w:r>
            <w:r w:rsidRPr="00A93256">
              <w:t>are used t</w:t>
            </w:r>
            <w:r w:rsidR="00501D19">
              <w:t xml:space="preserve">o develop criteria for success </w:t>
            </w:r>
            <w:r w:rsidRPr="00A93256">
              <w:t>for learning targets.  </w:t>
            </w:r>
          </w:p>
        </w:tc>
        <w:tc>
          <w:tcPr>
            <w:tcW w:w="1092" w:type="dxa"/>
          </w:tcPr>
          <w:p w:rsidR="00A93256" w:rsidRPr="00A93256" w:rsidRDefault="00A93256" w:rsidP="00A93256"/>
        </w:tc>
        <w:tc>
          <w:tcPr>
            <w:tcW w:w="1080" w:type="dxa"/>
          </w:tcPr>
          <w:p w:rsidR="00A93256" w:rsidRPr="00A93256" w:rsidRDefault="00A93256" w:rsidP="00A93256"/>
        </w:tc>
        <w:tc>
          <w:tcPr>
            <w:tcW w:w="1260" w:type="dxa"/>
          </w:tcPr>
          <w:p w:rsidR="00A93256" w:rsidRPr="00A93256" w:rsidRDefault="00A93256" w:rsidP="00A93256"/>
        </w:tc>
        <w:tc>
          <w:tcPr>
            <w:tcW w:w="4680" w:type="dxa"/>
          </w:tcPr>
          <w:p w:rsidR="00A93256" w:rsidRPr="00A93256" w:rsidRDefault="00A93256" w:rsidP="00A93256"/>
        </w:tc>
      </w:tr>
      <w:tr w:rsidR="00A93256" w:rsidRPr="00A93256" w:rsidTr="00A93256">
        <w:tc>
          <w:tcPr>
            <w:tcW w:w="6018" w:type="dxa"/>
          </w:tcPr>
          <w:p w:rsidR="00A93256" w:rsidRPr="00A93256" w:rsidRDefault="00A93256" w:rsidP="00A93256">
            <w:pPr>
              <w:rPr>
                <w:b/>
              </w:rPr>
            </w:pPr>
            <w:r w:rsidRPr="00A93256">
              <w:rPr>
                <w:b/>
              </w:rPr>
              <w:t>Eliciting Evidence of Learning</w:t>
            </w:r>
            <w:r>
              <w:rPr>
                <w:b/>
              </w:rPr>
              <w:t xml:space="preserve">: </w:t>
            </w:r>
            <w:r w:rsidR="00501D19">
              <w:rPr>
                <w:b/>
              </w:rPr>
              <w:t>*</w:t>
            </w:r>
            <w:r w:rsidRPr="00A93256">
              <w:t xml:space="preserve">Multiple assessment means are used to provide insight into skills along the construct progression. </w:t>
            </w:r>
          </w:p>
        </w:tc>
        <w:tc>
          <w:tcPr>
            <w:tcW w:w="1092" w:type="dxa"/>
          </w:tcPr>
          <w:p w:rsidR="00A93256" w:rsidRPr="00A93256" w:rsidRDefault="00A93256" w:rsidP="00A93256"/>
        </w:tc>
        <w:tc>
          <w:tcPr>
            <w:tcW w:w="1080" w:type="dxa"/>
          </w:tcPr>
          <w:p w:rsidR="00A93256" w:rsidRPr="00A93256" w:rsidRDefault="00A93256" w:rsidP="00A93256"/>
        </w:tc>
        <w:tc>
          <w:tcPr>
            <w:tcW w:w="1260" w:type="dxa"/>
          </w:tcPr>
          <w:p w:rsidR="00A93256" w:rsidRPr="00A93256" w:rsidRDefault="00A93256" w:rsidP="00A93256"/>
        </w:tc>
        <w:tc>
          <w:tcPr>
            <w:tcW w:w="4680" w:type="dxa"/>
          </w:tcPr>
          <w:p w:rsidR="00A93256" w:rsidRPr="00A93256" w:rsidRDefault="00A93256" w:rsidP="00A93256"/>
        </w:tc>
      </w:tr>
      <w:tr w:rsidR="00A93256" w:rsidRPr="00A93256" w:rsidTr="00A93256">
        <w:tc>
          <w:tcPr>
            <w:tcW w:w="6018" w:type="dxa"/>
          </w:tcPr>
          <w:p w:rsidR="00A93256" w:rsidRPr="00A93256" w:rsidRDefault="00A93256" w:rsidP="00A93256">
            <w:pPr>
              <w:rPr>
                <w:b/>
              </w:rPr>
            </w:pPr>
            <w:r w:rsidRPr="00A93256">
              <w:rPr>
                <w:b/>
              </w:rPr>
              <w:t>Interpreting the Evidence: Identifying the Current Learning Status</w:t>
            </w:r>
            <w:r>
              <w:rPr>
                <w:b/>
              </w:rPr>
              <w:t xml:space="preserve">: </w:t>
            </w:r>
            <w:r w:rsidRPr="00A93256">
              <w:t xml:space="preserve">Evidence is interpreted by locating the child’s learning status along the construct progression. </w:t>
            </w:r>
          </w:p>
        </w:tc>
        <w:tc>
          <w:tcPr>
            <w:tcW w:w="1092" w:type="dxa"/>
          </w:tcPr>
          <w:p w:rsidR="00A93256" w:rsidRPr="00A93256" w:rsidRDefault="00A93256" w:rsidP="00A93256"/>
        </w:tc>
        <w:tc>
          <w:tcPr>
            <w:tcW w:w="1080" w:type="dxa"/>
          </w:tcPr>
          <w:p w:rsidR="00A93256" w:rsidRPr="00A93256" w:rsidRDefault="00A93256" w:rsidP="00A93256"/>
        </w:tc>
        <w:tc>
          <w:tcPr>
            <w:tcW w:w="1260" w:type="dxa"/>
          </w:tcPr>
          <w:p w:rsidR="00A93256" w:rsidRPr="00A93256" w:rsidRDefault="00A93256" w:rsidP="00A93256"/>
        </w:tc>
        <w:tc>
          <w:tcPr>
            <w:tcW w:w="4680" w:type="dxa"/>
          </w:tcPr>
          <w:p w:rsidR="00A93256" w:rsidRPr="00A93256" w:rsidRDefault="00A93256" w:rsidP="00A93256"/>
        </w:tc>
      </w:tr>
      <w:tr w:rsidR="00A93256" w:rsidRPr="00A93256" w:rsidTr="00A93256">
        <w:tc>
          <w:tcPr>
            <w:tcW w:w="6018" w:type="dxa"/>
          </w:tcPr>
          <w:p w:rsidR="00A93256" w:rsidRPr="00A93256" w:rsidRDefault="00A93256" w:rsidP="00A93256">
            <w:pPr>
              <w:rPr>
                <w:b/>
              </w:rPr>
            </w:pPr>
            <w:r w:rsidRPr="00A93256">
              <w:rPr>
                <w:b/>
              </w:rPr>
              <w:t>Adapting/Responding to Learning Need</w:t>
            </w:r>
            <w:r w:rsidR="00141F56">
              <w:rPr>
                <w:b/>
              </w:rPr>
              <w:t>s: Scaffolding Student Learning</w:t>
            </w:r>
            <w:r>
              <w:rPr>
                <w:b/>
              </w:rPr>
              <w:t xml:space="preserve">: </w:t>
            </w:r>
            <w:r w:rsidRPr="00A93256">
              <w:t>Adapting and responding to learning needs is based upon current learning status along the construct progressi</w:t>
            </w:r>
            <w:r>
              <w:t xml:space="preserve">on. </w:t>
            </w:r>
          </w:p>
        </w:tc>
        <w:tc>
          <w:tcPr>
            <w:tcW w:w="1092" w:type="dxa"/>
          </w:tcPr>
          <w:p w:rsidR="00A93256" w:rsidRPr="00A93256" w:rsidRDefault="00A93256" w:rsidP="00A93256"/>
        </w:tc>
        <w:tc>
          <w:tcPr>
            <w:tcW w:w="1080" w:type="dxa"/>
          </w:tcPr>
          <w:p w:rsidR="00A93256" w:rsidRPr="00A93256" w:rsidRDefault="00A93256" w:rsidP="00A93256"/>
        </w:tc>
        <w:tc>
          <w:tcPr>
            <w:tcW w:w="1260" w:type="dxa"/>
          </w:tcPr>
          <w:p w:rsidR="00A93256" w:rsidRPr="00A93256" w:rsidRDefault="00A93256" w:rsidP="00A93256"/>
        </w:tc>
        <w:tc>
          <w:tcPr>
            <w:tcW w:w="4680" w:type="dxa"/>
          </w:tcPr>
          <w:p w:rsidR="00A93256" w:rsidRPr="00A93256" w:rsidRDefault="00A93256" w:rsidP="00A93256"/>
        </w:tc>
      </w:tr>
    </w:tbl>
    <w:p w:rsidR="002E3527" w:rsidRPr="00A93256" w:rsidRDefault="002E3527">
      <w:pPr>
        <w:rPr>
          <w:sz w:val="20"/>
          <w:szCs w:val="20"/>
        </w:rPr>
      </w:pPr>
    </w:p>
    <w:sectPr w:rsidR="002E3527" w:rsidRPr="00A93256" w:rsidSect="00C0351C">
      <w:headerReference w:type="even" r:id="rId8"/>
      <w:headerReference w:type="default" r:id="rId9"/>
      <w:footerReference w:type="even" r:id="rId10"/>
      <w:footerReference w:type="default" r:id="rId11"/>
      <w:headerReference w:type="first" r:id="rId12"/>
      <w:footerReference w:type="first" r:id="rId13"/>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D2389" w:rsidRDefault="00DD2389" w:rsidP="009C0EC0">
      <w:pPr>
        <w:spacing w:after="0" w:line="240" w:lineRule="auto"/>
      </w:pPr>
      <w:r>
        <w:separator/>
      </w:r>
    </w:p>
  </w:endnote>
  <w:endnote w:type="continuationSeparator" w:id="0">
    <w:p w:rsidR="00DD2389" w:rsidRDefault="00DD2389" w:rsidP="009C0E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56" w:rsidRDefault="00141F5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C0" w:rsidRPr="00501D19" w:rsidRDefault="009C0EC0">
    <w:pPr>
      <w:ind w:right="260"/>
      <w:rPr>
        <w:color w:val="0F243E" w:themeColor="text2" w:themeShade="80"/>
        <w:sz w:val="20"/>
        <w:szCs w:val="20"/>
      </w:rPr>
    </w:pPr>
    <w:r>
      <w:rPr>
        <w:noProof/>
        <w:color w:val="1F497D" w:themeColor="text2"/>
        <w:sz w:val="26"/>
        <w:szCs w:val="26"/>
      </w:rPr>
      <mc:AlternateContent>
        <mc:Choice Requires="wps">
          <w:drawing>
            <wp:anchor distT="0" distB="0" distL="114300" distR="114300" simplePos="0" relativeHeight="251657216" behindDoc="0" locked="0" layoutInCell="1" allowOverlap="1" wp14:anchorId="41BC14E5" wp14:editId="677A6A03">
              <wp:simplePos x="0" y="0"/>
              <mc:AlternateContent>
                <mc:Choice Requires="wp14">
                  <wp:positionH relativeFrom="page">
                    <wp14:pctPosHOffset>91000</wp14:pctPosHOffset>
                  </wp:positionH>
                </mc:Choice>
                <mc:Fallback>
                  <wp:positionH relativeFrom="page">
                    <wp:posOffset>9152890</wp:posOffset>
                  </wp:positionH>
                </mc:Fallback>
              </mc:AlternateContent>
              <mc:AlternateContent>
                <mc:Choice Requires="wp14">
                  <wp:positionV relativeFrom="page">
                    <wp14:pctPosVOffset>93000</wp14:pctPosVOffset>
                  </wp:positionV>
                </mc:Choice>
                <mc:Fallback>
                  <wp:positionV relativeFrom="page">
                    <wp:posOffset>7228205</wp:posOffset>
                  </wp:positionV>
                </mc:Fallback>
              </mc:AlternateContent>
              <wp:extent cx="388620" cy="313055"/>
              <wp:effectExtent l="0" t="0" r="0" b="0"/>
              <wp:wrapNone/>
              <wp:docPr id="49" name="Text Box 49"/>
              <wp:cNvGraphicFramePr/>
              <a:graphic xmlns:a="http://schemas.openxmlformats.org/drawingml/2006/main">
                <a:graphicData uri="http://schemas.microsoft.com/office/word/2010/wordprocessingShape">
                  <wps:wsp>
                    <wps:cNvSpPr txBox="1"/>
                    <wps:spPr>
                      <a:xfrm>
                        <a:off x="0" y="0"/>
                        <a:ext cx="388620" cy="313055"/>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C0EC0" w:rsidRDefault="009C0EC0">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3C5525">
                            <w:rPr>
                              <w:noProof/>
                              <w:color w:val="0F243E" w:themeColor="text2" w:themeShade="80"/>
                              <w:sz w:val="26"/>
                              <w:szCs w:val="26"/>
                            </w:rPr>
                            <w:t>1</w:t>
                          </w:r>
                          <w:r>
                            <w:rPr>
                              <w:color w:val="0F243E" w:themeColor="text2" w:themeShade="80"/>
                              <w:sz w:val="26"/>
                              <w:szCs w:val="26"/>
                            </w:rPr>
                            <w:fldChar w:fldCharType="end"/>
                          </w:r>
                        </w:p>
                      </w:txbxContent>
                    </wps:txbx>
                    <wps:bodyPr rot="0" spcFirstLastPara="0" vertOverflow="overflow" horzOverflow="overflow" vert="horz" wrap="square" lIns="0" tIns="45720" rIns="0" bIns="45720" numCol="1" spcCol="0" rtlCol="0" fromWordArt="0" anchor="ctr" anchorCtr="0" forceAA="0" compatLnSpc="1">
                      <a:prstTxWarp prst="textNoShape">
                        <a:avLst/>
                      </a:prstTxWarp>
                      <a:spAutoFit/>
                    </wps:bodyPr>
                  </wps:wsp>
                </a:graphicData>
              </a:graphic>
              <wp14:sizeRelH relativeFrom="page">
                <wp14:pctWidth>5000</wp14:pctWidth>
              </wp14:sizeRelH>
              <wp14:sizeRelV relativeFrom="page">
                <wp14:pctHeight>5000</wp14:pctHeight>
              </wp14:sizeRelV>
            </wp:anchor>
          </w:drawing>
        </mc:Choice>
        <mc:Fallback>
          <w:pict>
            <v:shapetype id="_x0000_t202" coordsize="21600,21600" o:spt="202" path="m,l,21600r21600,l21600,xe">
              <v:stroke joinstyle="miter"/>
              <v:path gradientshapeok="t" o:connecttype="rect"/>
            </v:shapetype>
            <v:shape id="Text Box 49" o:spid="_x0000_s1026" type="#_x0000_t202" style="position:absolute;margin-left:0;margin-top:0;width:30.6pt;height:24.65pt;z-index:251657216;visibility:visible;mso-wrap-style:square;mso-width-percent:50;mso-height-percent:50;mso-left-percent:910;mso-top-percent:930;mso-wrap-distance-left:9pt;mso-wrap-distance-top:0;mso-wrap-distance-right:9pt;mso-wrap-distance-bottom:0;mso-position-horizontal-relative:page;mso-position-vertical-relative:page;mso-width-percent:50;mso-height-percent:50;mso-left-percent:910;mso-top-percent:93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" fillcolor="white [3201]" stroked="f" strokeweight=".5pt">
              <v:textbox style="mso-fit-shape-to-text:t" inset="0,,0">
                <w:txbxContent>
                  <w:p w:rsidR="009C0EC0" w:rsidRDefault="009C0EC0">
                    <w:pPr>
                      <w:spacing w:after="0"/>
                      <w:jc w:val="center"/>
                      <w:rPr>
                        <w:color w:val="0F243E" w:themeColor="text2" w:themeShade="80"/>
                        <w:sz w:val="26"/>
                        <w:szCs w:val="26"/>
                      </w:rPr>
                    </w:pPr>
                    <w:r>
                      <w:rPr>
                        <w:color w:val="0F243E" w:themeColor="text2" w:themeShade="80"/>
                        <w:sz w:val="26"/>
                        <w:szCs w:val="26"/>
                      </w:rPr>
                      <w:fldChar w:fldCharType="begin"/>
                    </w:r>
                    <w:r>
                      <w:rPr>
                        <w:color w:val="0F243E" w:themeColor="text2" w:themeShade="80"/>
                        <w:sz w:val="26"/>
                        <w:szCs w:val="26"/>
                      </w:rPr>
                      <w:instrText xml:space="preserve"> PAGE  \* Arabic  \* MERGEFORMAT </w:instrText>
                    </w:r>
                    <w:r>
                      <w:rPr>
                        <w:color w:val="0F243E" w:themeColor="text2" w:themeShade="80"/>
                        <w:sz w:val="26"/>
                        <w:szCs w:val="26"/>
                      </w:rPr>
                      <w:fldChar w:fldCharType="separate"/>
                    </w:r>
                    <w:r w:rsidR="003C5525">
                      <w:rPr>
                        <w:noProof/>
                        <w:color w:val="0F243E" w:themeColor="text2" w:themeShade="80"/>
                        <w:sz w:val="26"/>
                        <w:szCs w:val="26"/>
                      </w:rPr>
                      <w:t>1</w:t>
                    </w:r>
                    <w:r>
                      <w:rPr>
                        <w:color w:val="0F243E" w:themeColor="text2" w:themeShade="80"/>
                        <w:sz w:val="26"/>
                        <w:szCs w:val="26"/>
                      </w:rPr>
                      <w:fldChar w:fldCharType="end"/>
                    </w:r>
                  </w:p>
                </w:txbxContent>
              </v:textbox>
              <w10:wrap anchorx="page" anchory="page"/>
            </v:shape>
          </w:pict>
        </mc:Fallback>
      </mc:AlternateContent>
    </w:r>
    <w:r w:rsidR="00501D19">
      <w:rPr>
        <w:color w:val="0F243E" w:themeColor="text2" w:themeShade="80"/>
        <w:sz w:val="26"/>
        <w:szCs w:val="26"/>
      </w:rPr>
      <w:t>*</w:t>
    </w:r>
    <w:r w:rsidR="00501D19">
      <w:rPr>
        <w:color w:val="0F243E" w:themeColor="text2" w:themeShade="80"/>
        <w:sz w:val="20"/>
        <w:szCs w:val="20"/>
      </w:rPr>
      <w:t xml:space="preserve">Multiple assessment means includes a variety of ways for students to demonstrate their understanding and both teacher initiated and child initiated opportunities for students to express their thinking. </w:t>
    </w:r>
  </w:p>
  <w:p w:rsidR="009C0EC0" w:rsidRPr="00501D19" w:rsidRDefault="00A93256" w:rsidP="00A93256">
    <w:pPr>
      <w:pStyle w:val="Footer"/>
      <w:rPr>
        <w:i/>
        <w:sz w:val="20"/>
        <w:szCs w:val="20"/>
      </w:rPr>
    </w:pPr>
    <w:r w:rsidRPr="00501D19">
      <w:rPr>
        <w:i/>
        <w:sz w:val="20"/>
        <w:szCs w:val="20"/>
      </w:rPr>
      <w:t>This document is adapted from the work of the National Implementation Research Network (NIRN).</w:t>
    </w:r>
    <w:r w:rsidR="00501D19">
      <w:rPr>
        <w:i/>
        <w:sz w:val="20"/>
        <w:szCs w:val="20"/>
      </w:rPr>
      <w:t xml:space="preserve"> </w:t>
    </w:r>
    <w:r w:rsidRPr="00501D19">
      <w:rPr>
        <w:i/>
        <w:sz w:val="20"/>
        <w:szCs w:val="20"/>
      </w:rPr>
      <w:t xml:space="preserve">© 2013 Karen </w:t>
    </w:r>
    <w:proofErr w:type="spellStart"/>
    <w:r w:rsidRPr="00501D19">
      <w:rPr>
        <w:i/>
        <w:sz w:val="20"/>
        <w:szCs w:val="20"/>
      </w:rPr>
      <w:t>Blase</w:t>
    </w:r>
    <w:proofErr w:type="spellEnd"/>
    <w:r w:rsidRPr="00501D19">
      <w:rPr>
        <w:i/>
        <w:sz w:val="20"/>
        <w:szCs w:val="20"/>
      </w:rPr>
      <w:t xml:space="preserve">, Melissa van Dyke and Dean </w:t>
    </w:r>
    <w:proofErr w:type="spellStart"/>
    <w:r w:rsidRPr="00501D19">
      <w:rPr>
        <w:i/>
        <w:sz w:val="20"/>
        <w:szCs w:val="20"/>
      </w:rPr>
      <w:t>Fixsen</w:t>
    </w:r>
    <w:proofErr w:type="spellEnd"/>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56" w:rsidRDefault="00141F5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D2389" w:rsidRDefault="00DD2389" w:rsidP="009C0EC0">
      <w:pPr>
        <w:spacing w:after="0" w:line="240" w:lineRule="auto"/>
      </w:pPr>
      <w:r>
        <w:separator/>
      </w:r>
    </w:p>
  </w:footnote>
  <w:footnote w:type="continuationSeparator" w:id="0">
    <w:p w:rsidR="00DD2389" w:rsidRDefault="00DD2389" w:rsidP="009C0E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56" w:rsidRDefault="00141F5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C0EC0" w:rsidRPr="00C0351C" w:rsidRDefault="00C0351C" w:rsidP="009C0EC0">
    <w:pPr>
      <w:pStyle w:val="Header"/>
      <w:jc w:val="center"/>
      <w:rPr>
        <w:sz w:val="24"/>
        <w:szCs w:val="24"/>
      </w:rPr>
    </w:pPr>
    <w:r w:rsidRPr="00C0351C">
      <w:rPr>
        <w:sz w:val="24"/>
        <w:szCs w:val="24"/>
      </w:rPr>
      <w:t xml:space="preserve">Teacher </w:t>
    </w:r>
    <w:r w:rsidR="009C0EC0" w:rsidRPr="00C0351C">
      <w:rPr>
        <w:sz w:val="24"/>
        <w:szCs w:val="24"/>
      </w:rPr>
      <w:t xml:space="preserve">Self and Peer </w:t>
    </w:r>
    <w:r w:rsidRPr="00C0351C">
      <w:rPr>
        <w:sz w:val="24"/>
        <w:szCs w:val="24"/>
      </w:rPr>
      <w:t>Reflection</w:t>
    </w:r>
    <w:r w:rsidR="009C0EC0" w:rsidRPr="00C0351C">
      <w:rPr>
        <w:sz w:val="24"/>
        <w:szCs w:val="24"/>
      </w:rPr>
      <w:t xml:space="preserve"> Tool: K-3 Formative Assessment Process Practices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1F56" w:rsidRDefault="00141F5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54E15"/>
    <w:multiLevelType w:val="hybridMultilevel"/>
    <w:tmpl w:val="858A8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3527"/>
    <w:rsid w:val="000804F0"/>
    <w:rsid w:val="00083E15"/>
    <w:rsid w:val="00097248"/>
    <w:rsid w:val="00141F56"/>
    <w:rsid w:val="00162788"/>
    <w:rsid w:val="001A32B1"/>
    <w:rsid w:val="002E3527"/>
    <w:rsid w:val="003153CE"/>
    <w:rsid w:val="003438FD"/>
    <w:rsid w:val="00345F86"/>
    <w:rsid w:val="003C5525"/>
    <w:rsid w:val="00501D19"/>
    <w:rsid w:val="00534898"/>
    <w:rsid w:val="00557742"/>
    <w:rsid w:val="006A37A1"/>
    <w:rsid w:val="00800EBE"/>
    <w:rsid w:val="008B0A2F"/>
    <w:rsid w:val="009C0EC0"/>
    <w:rsid w:val="00A71A66"/>
    <w:rsid w:val="00A93256"/>
    <w:rsid w:val="00B51591"/>
    <w:rsid w:val="00BB572E"/>
    <w:rsid w:val="00C0351C"/>
    <w:rsid w:val="00CA010B"/>
    <w:rsid w:val="00D25EBB"/>
    <w:rsid w:val="00DA58AD"/>
    <w:rsid w:val="00DD238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742"/>
    <w:pPr>
      <w:ind w:left="720"/>
      <w:contextualSpacing/>
    </w:pPr>
  </w:style>
  <w:style w:type="table" w:styleId="TableGrid">
    <w:name w:val="Table Grid"/>
    <w:basedOn w:val="TableNormal"/>
    <w:uiPriority w:val="59"/>
    <w:rsid w:val="005577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C0E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EC0"/>
  </w:style>
  <w:style w:type="paragraph" w:styleId="Footer">
    <w:name w:val="footer"/>
    <w:basedOn w:val="Normal"/>
    <w:link w:val="FooterChar"/>
    <w:uiPriority w:val="99"/>
    <w:unhideWhenUsed/>
    <w:rsid w:val="009C0E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EC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7742"/>
    <w:pPr>
      <w:ind w:left="720"/>
      <w:contextualSpacing/>
    </w:pPr>
  </w:style>
  <w:style w:type="table" w:styleId="TableGrid">
    <w:name w:val="Table Grid"/>
    <w:basedOn w:val="TableNormal"/>
    <w:uiPriority w:val="59"/>
    <w:rsid w:val="005577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9C0EC0"/>
    <w:pPr>
      <w:tabs>
        <w:tab w:val="center" w:pos="4680"/>
        <w:tab w:val="right" w:pos="9360"/>
      </w:tabs>
      <w:spacing w:after="0" w:line="240" w:lineRule="auto"/>
    </w:pPr>
  </w:style>
  <w:style w:type="character" w:customStyle="1" w:styleId="HeaderChar">
    <w:name w:val="Header Char"/>
    <w:basedOn w:val="DefaultParagraphFont"/>
    <w:link w:val="Header"/>
    <w:uiPriority w:val="99"/>
    <w:rsid w:val="009C0EC0"/>
  </w:style>
  <w:style w:type="paragraph" w:styleId="Footer">
    <w:name w:val="footer"/>
    <w:basedOn w:val="Normal"/>
    <w:link w:val="FooterChar"/>
    <w:uiPriority w:val="99"/>
    <w:unhideWhenUsed/>
    <w:rsid w:val="009C0EC0"/>
    <w:pPr>
      <w:tabs>
        <w:tab w:val="center" w:pos="4680"/>
        <w:tab w:val="right" w:pos="9360"/>
      </w:tabs>
      <w:spacing w:after="0" w:line="240" w:lineRule="auto"/>
    </w:pPr>
  </w:style>
  <w:style w:type="character" w:customStyle="1" w:styleId="FooterChar">
    <w:name w:val="Footer Char"/>
    <w:basedOn w:val="DefaultParagraphFont"/>
    <w:link w:val="Footer"/>
    <w:uiPriority w:val="99"/>
    <w:rsid w:val="009C0EC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587093">
      <w:bodyDiv w:val="1"/>
      <w:marLeft w:val="0"/>
      <w:marRight w:val="0"/>
      <w:marTop w:val="0"/>
      <w:marBottom w:val="0"/>
      <w:divBdr>
        <w:top w:val="none" w:sz="0" w:space="0" w:color="auto"/>
        <w:left w:val="none" w:sz="0" w:space="0" w:color="auto"/>
        <w:bottom w:val="none" w:sz="0" w:space="0" w:color="auto"/>
        <w:right w:val="none" w:sz="0" w:space="0" w:color="auto"/>
      </w:divBdr>
    </w:div>
    <w:div w:id="572934081">
      <w:bodyDiv w:val="1"/>
      <w:marLeft w:val="0"/>
      <w:marRight w:val="0"/>
      <w:marTop w:val="0"/>
      <w:marBottom w:val="0"/>
      <w:divBdr>
        <w:top w:val="none" w:sz="0" w:space="0" w:color="auto"/>
        <w:left w:val="none" w:sz="0" w:space="0" w:color="auto"/>
        <w:bottom w:val="none" w:sz="0" w:space="0" w:color="auto"/>
        <w:right w:val="none" w:sz="0" w:space="0" w:color="auto"/>
      </w:divBdr>
    </w:div>
    <w:div w:id="645549785">
      <w:bodyDiv w:val="1"/>
      <w:marLeft w:val="0"/>
      <w:marRight w:val="0"/>
      <w:marTop w:val="0"/>
      <w:marBottom w:val="0"/>
      <w:divBdr>
        <w:top w:val="none" w:sz="0" w:space="0" w:color="auto"/>
        <w:left w:val="none" w:sz="0" w:space="0" w:color="auto"/>
        <w:bottom w:val="none" w:sz="0" w:space="0" w:color="auto"/>
        <w:right w:val="none" w:sz="0" w:space="0" w:color="auto"/>
      </w:divBdr>
    </w:div>
    <w:div w:id="711926716">
      <w:bodyDiv w:val="1"/>
      <w:marLeft w:val="0"/>
      <w:marRight w:val="0"/>
      <w:marTop w:val="0"/>
      <w:marBottom w:val="0"/>
      <w:divBdr>
        <w:top w:val="none" w:sz="0" w:space="0" w:color="auto"/>
        <w:left w:val="none" w:sz="0" w:space="0" w:color="auto"/>
        <w:bottom w:val="none" w:sz="0" w:space="0" w:color="auto"/>
        <w:right w:val="none" w:sz="0" w:space="0" w:color="auto"/>
      </w:divBdr>
    </w:div>
    <w:div w:id="1735355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342</Words>
  <Characters>1951</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2289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CDewey</dc:creator>
  <cp:lastModifiedBy>Floyd, Ana</cp:lastModifiedBy>
  <cp:revision>2</cp:revision>
  <dcterms:created xsi:type="dcterms:W3CDTF">2015-04-27T14:22:00Z</dcterms:created>
  <dcterms:modified xsi:type="dcterms:W3CDTF">2015-04-27T14:22:00Z</dcterms:modified>
</cp:coreProperties>
</file>